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1071. “洗牙正当时，口腔体检”——洗牙（牙齿洁治）习惯与口腔健康消费研究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研究对象：定期洗牙/首次洗牙的人群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核心问题/变量：洗牙认知（伤牙顾虑）、洁牙频次（每年1-2次）、价格（百元-千元）、与牙周病防治、洗牙+检查转化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H1：洗牙认知（伤牙顾虑）、洁牙频次（每年1-2次）显著影响洗牙+检查转化（待验证）；H2：不同人群（年龄/收入/城市等级）在上述关系中存在调节作用（待验证）。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🔶口腔健康行动方案（卫健委）；🔶洗牙消费数据（口腔行业报告须下载核验）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口腔门诊渠道+用户问卷；获奖黑名单核对：近三年无洗牙消费获奖题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🔶口腔健康行动方案（卫健委）；🔶洗牙消费数据（口腔行业报告须下载核验）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