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1150. “成人近视防控，成年人的度数保卫战”——成年人近视加深（用眼压力）干预研究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研究对象：成年后近视继续加深（视疲劳）的用眼人群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核心问题/变量：成年近视加深（屏幕族）、视疲劳症状、干预方式（户外/护眼/OK镜限青年）、眼底健康体检、用眼习惯改变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成年近视加深（屏幕族）、视疲劳症状（用眼习惯改变）之间存在可检验的关系，且受群体差异（年龄/收入/地区/身份）调节（待验证）；H2：成年近视加深（屏幕族）、视疲劳症状是影响用眼习惯改变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🔶眼健康行动与近视防控政策（卫健委）；🔶成人近视数据（眼科报告须下载核验）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眼科门诊+上班族问卷；获奖黑名单核对：近三年无成人近视干预获奖题（区别于224/954青少年近视）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🔶眼健康行动与近视防控政策（卫健委）；🔶成人近视数据（眼科报告须下载核验）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