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121. “生命终点，温柔疗护”——安宁疗护服务认知、需求与支付意愿研究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研究对象：家有重病/临终老人的成年子女或 60+ 老人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核心问题/变量：安宁疗护认知度、服务需求（疼痛管理/心理支持/家属关怀）、政策支付意愿、伦理态度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安宁疗护认知度、服务需求（疼痛管理/心理支持/家属关怀）（伦理态度）之间存在可检验的关系，且受群体差异（年龄/收入/地区/身份）调节（待验证）；H2：安宁疗护认知度、服务需求（疼痛管理/心理支持/家属关怀）是影响伦理态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✅安宁疗护2023年约850亿元、有望突破1500亿元（弗若斯特沙利文2024）；✅广东省将安宁疗护纳入价格项目（每日收费260元）；✅《健康中国2030规划纲要》安宁疗护政策（背景）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医院肿瘤科/安宁疗护病房/社区临终关怀宣传渠道；话题有温度、政策新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✅安宁疗护2023年约850亿元、有望突破1500亿元（弗若斯特沙利文2024）；✅广东省将安宁疗护纳入价格项目（每日收费260元）；✅《健康中国2030规划纲要》安宁疗护政策（背景）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