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1302. “基层医院CT，设备上楼了”——基层医疗设备（CT、核磁下沉）使用研究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研究对象：在基层医院（乡镇/社区）使用大型设备检查（CT/核磁）的患者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核心问题/变量：基层影像设备配置（CT下沉）、检查排队与报告（远程会诊）、与大医院检查对比、收费与报销、基层医疗信任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基层影像设备配置（CT下沉）、检查排队与报告（远程会诊）（基层医疗信任）之间存在可检验的关系，且受群体差异（年龄/收入/地区/身份）调节（待验证）；H2：基层影像设备配置（CT下沉）、检查排队与报告（远程会诊）是影响基层医疗信任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🔶基层医疗能力提升与设备配置政策（卫健委）；🔶紧密型县域医共体数据（须下载核验）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基层医院渠道+患者问卷；获奖黑名单核对：近三年无基层设备检查获奖题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🔶基层医疗能力提升与设备配置政策（卫健委）；🔶紧密型县域医共体数据（须下载核验）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