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1303. “医学影像共享，检查结果互认”——医疗机构检查检验结果互认（患者）研究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研究对象：经历跨院就诊（检查结果互认）的患者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核心问题/变量：检查结果互认政策（京津冀/全国互认）、跨院重复检查经历（不必要的重拍）、互认范围感知、就医便利度、省时省钱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检查结果互认政策（京津冀/全国互认）、跨院重复检查经历（不必要的重拍）（省时省钱）之间存在可检验的关系，且受群体差异（年龄/收入/地区/身份）调节（待验证）；H2：检查结果互认政策（京津冀/全国互认）、跨院重复检查经历（不必要的重拍）是影响省时省钱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🔶医疗机构检查检验结果互认政策（卫健委、医保局）；🔶互认数据（须下载核验）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就医患者问卷+医院医务科访谈；获奖黑名单核对：近三年无检查互认获奖题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🔶医疗机构检查检验结果互认政策（卫健委、医保局）；🔶互认数据（须下载核验）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