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1305. “三明医改经验，看病便宜了”——三明医改经验推广（药价、薪酬）感知研究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研究对象：经历三明医改经验推广（药品耗材集采/医生薪酬改革）的医生与患者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核心问题/变量：集采药价下降感知、医生薪酬改革（阳光收入）、医疗服务价格调整（挂号费）、患者负担变化、医生积极性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集采药价下降感知、医生薪酬改革（阳光收入）（医生积极性）之间存在可检验的关系，且受群体差异（年龄/收入/地区/身份）调节（待验证）；H2：集采药价下降感知、医生薪酬改革（阳光收入）是影响医生积极性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🔶三明医改经验推广政策（国务院、卫健委）；🔶集采与薪酬改革数据（须下载核验）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医院问卷+卫健委访谈；获奖黑名单核对：近三年无三明医改获奖题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🔶三明医改经验推广政策（国务院、卫健委）；🔶集采与薪酬改革数据（须下载核验）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