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1306. “医保比价，买药不花冤枉钱”——医保药品线上比价（比价小程序）使用研究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研究对象：使用医保药品比价小程序（医保局上线）购药的参保人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核心问题/变量：药店药价差异（同药不同价）、比价工具使用（医保比价小程序）、买药选择（就近/价低）、集采药配备、价格上涨曝光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药店药价差异（同药不同价）、比价工具使用（医保比价小程序）（价格上涨曝光）之间存在可检验的关系，且受群体差异（年龄/收入/地区/身份）调节（待验证）；H2：药店药价差异（同药不同价）、比价工具使用（医保比价小程序）是影响价格上涨曝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🔶医保药品价格监测与比价政策（国家医保局）；🔶比价平台数据（须下载核验）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参保人问卷+医保部门访谈；获奖黑名单核对：近三年无医保比价获奖题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🔶医保药品价格监测与比价政策（国家医保局）；🔶比价平台数据（须下载核验）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