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1326. “肺结节门诊，磨玻璃焦虑”——肺结节检出（体检、门诊）焦虑与随访研究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研究对象：体检发现肺结节（磨玻璃影）随访的人群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核心问题/变量：肺结节检出率高（AI筛查）、结节焦虑（疑癌）、随访依从（3个月复查）、过度检查（PET-CT）、医生解释沟通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肺结节检出率高（AI筛查）、结节焦虑（疑癌）（医生解释沟通）之间存在可检验的关系，且受群体差异（年龄/收入/地区/身份）调节（待验证）；H2：肺结节检出率高（AI筛查）、结节焦虑（疑癌）是影响医生解释沟通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🔶肺结节筛查与随访指南（中华医学会）；🔶肺结节检出数据（医学报告须下载核验）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影像科渠道+检出者问卷；获奖黑名单核对：近三年无肺结节随访获奖题（区别于234肺结节泛题，聚焦随访心理与行为）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🔶肺结节筛查与随访指南（中华医学会）；🔶肺结节检出数据（医学报告须下载核验）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