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1327. “青年中风，突然的倒下”——青年脑血管病（年轻化）防治研究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研究对象：中青年脑卒中患者/高危人群（高血压熬夜）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核心问题/变量：青年卒中案例（过劳/熬夜）、危险因素（三高/烟酒）、发病征兆认知（FAST）、康复消费、年轻患者心理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青年卒中案例（过劳/熬夜）、危险因素（三高/烟酒）（年轻患者心理）之间存在可检验的关系，且受群体差异（年龄/收入/地区/身份）调节（待验证）；H2：青年卒中案例（过劳/熬夜）、危险因素（三高/烟酒）是影响年轻患者心理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🔶卒中防治与心脑血管病行动（卫健委）；🔶卒中中心数据（须下载核验）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神经内科渠道+患者问卷；获奖黑名单核对：近三年无青年卒中获奖题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🔶卒中防治与心脑血管病行动（卫健委）；🔶卒中中心数据（须下载核验）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