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1328. “儿童肥胖门诊，小胖墩减重”——儿童肥胖（门诊干预）家庭研究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研究对象：带孩子看儿童肥胖门诊的家长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核心问题/变量：儿童肥胖率（超20%）、门诊干预（饮食运动处方）、家庭饮食结构、屏幕时间（久坐）、校园周边食品、反弹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儿童肥胖率（超20%）、门诊干预（饮食运动处方）（反弹）之间存在可检验的关系，且受群体差异（年龄/收入/地区/身份）调节（待验证）；H2：儿童肥胖率（超20%）、门诊干预（饮食运动处方）是影响反弹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🔶儿童青少年肥胖防控政策（卫健委、教育部）；🔶儿童肥胖数据（须下载核验）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儿科/营养科渠道+家长问卷；获奖黑名单核对：近三年无儿童肥胖门诊获奖题（区别于82/163成人减重）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🔶儿童青少年肥胖防控政策（卫健委、教育部）；🔶儿童肥胖数据（须下载核验）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