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1329. “打工人腰椎，久坐的代价”——久坐族腰椎、颈椎（脊柱健康）消费研究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研究对象：腰椎/颈椎不适（久坐办公）的上班族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核心问题/变量：脊柱不适高发（久坐）、诊疗（推拿/理疗/正骨）、工学椅/升降桌消费、康复训练（麦肯基）、复发与预防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H1：脊柱不适高发（久坐）、诊疗（推拿/理疗/正骨）显著影响复发与预防（待验证）；H2：不同人群（年龄/收入/城市等级）在上述关系中存在调节作用（待验证）。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🔶职业健康与工作相关疾病防治（卫健委）；🔶脊柱健康消费数据（须下载核验）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推拿理疗机构问卷+上班族受访；获奖黑名单核对：近三年无久坐脊柱获奖题（区别于865腰椎间盘泛题，聚焦办公久坐场景）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🔶职业健康与工作相关疾病防治（卫健委）；🔶脊柱健康消费数据（须下载核验）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