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1330. “更年期门诊，女性第二春”——更年期门诊（女性健康管理）就医研究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研究对象：就诊更年期门诊（40-60岁女性）的患者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核心问题/变量：更年期症状（潮热/失眠/情绪）、门诊就医（激素治疗）、健康管理（骨密度/血脂）、社会讨论开放化、家庭理解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更年期症状（潮热/失眠/情绪）、门诊就医（激素治疗）（家庭理解）之间存在可检验的关系，且受群体差异（年龄/收入/地区/身份）调节（待验证）；H2：更年期症状（潮热/失眠/情绪）、门诊就医（激素治疗）是影响家庭理解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🔶妇女健康与更年期保健政策（卫健委、全国妇联）；🔶更年期门诊数据（须下载核验）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妇科/更年期门诊渠道+患者问卷；获奖黑名单核对：近三年无更年期门诊获奖题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🔶妇女健康与更年期保健政策（卫健委、全国妇联）；🔶更年期门诊数据（须下载核验）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