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176. “颂钵入室，音声疗愈”——音声疗愈（颂钵、Spa、冥想馆）消费意愿与效果感知研究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研究对象：体验过颂钵/音疗/冥想馆的都市人群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核心问题/变量：体验动机（减压/失眠）、课程价格接受、效果自评、科学性认知、复购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H1：体验动机（减压/失眠）、课程价格接受显著影响复购（待验证）；H2：不同人群（年龄/收入/城市等级）在上述关系中存在调节作用（待验证）。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✅小红书"颂钵疗愈/颂钵冥想"帖子量一年+124%、互动+87%；✅情绪疗愈经济2026年近4万亿元（🔶行业测算）；✅音声疗愈为消费趋势非医疗手段（媒体提醒）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颂钵体验馆/瑜伽馆渠道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✅小红书"颂钵疗愈/颂钵冥想"帖子量一年+124%、互动+87%；✅情绪疗愈经济2026年近4万亿元（🔶行业测算）；✅音声疗愈为消费趋势非医疗手段（媒体提醒）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