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202. “倾听树洞，情绪有人听”——情绪倾听、付费陪聊服务消费意愿与伦理边界研究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研究对象：使用过或关注情绪倾诉服务的 18—40 岁人群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核心问题/变量：倾诉需求（孤独/压力）、服务形式（App/热线/一对一）、价格接受、隐私与安全顾虑、效果感知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H1：倾诉需求（孤独/压力）、服务形式（App/热线/一对一）显著影响效果感知（待验证）；H2：不同人群（年龄/收入/城市等级）在上述关系中存在调节作用（待验证）。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🔶情绪倾听/树洞服务为情感消费新业态（媒体）；✅近八成青年有情绪压力（艾媒，第二批已核验）；✅情绪经济27186亿元（2025年，已核验）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心理倾诉平台/树洞App用户渠道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🔶情绪倾听/树洞服务为情感消费新业态（媒体）；✅近八成青年有情绪压力（艾媒，第二批已核验）；✅情绪经济27186亿元（2025年，已核验）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