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224. “小眼镜，大防线”——儿童近视防控产品家长选择与付费意愿研究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研究对象：6—18岁孩子家长（关注近视防控）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核心问题/变量：孩子近视状况、防控手段选择（OK镜/离焦镜/红光/户外）、费用接受、医院信任、效果感知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H1：孩子近视状况、防控手段选择（OK镜/离焦镜/红光/户外）显著影响效果感知（待验证）；H2：不同人群（年龄/收入/城市等级）在上述关系中存在调节作用（待验证）。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✅2025年儿童青少年总体近视率51.9%；✅近视管理医疗器械零售市场2024年407.3亿元→2030年预计909.2亿元；✅防控转向全周期管理、OK镜/离焦/红光渗透率提高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眼科医院/学校渠道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✅2025年儿童青少年总体近视率51.9%；✅近视管理医疗器械零售市场2024年407.3亿元→2030年预计909.2亿元；✅防控转向全周期管理、OK镜/离焦/红光渗透率提高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