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254. “心理自助，AI 搭把手”——心理健康自助服务（心理App、线上咨询、AI心理工具）使用意愿研究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研究对象：18—40岁有情绪困扰或咨询过心理服务的青年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核心问题/变量：求助意愿（病耻感）、渠道偏好（App/热线/线下）、付费接受、AI心理工具信任、效果评价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求助意愿（病耻感）、渠道偏好（App/热线/线下）（效果评价）之间存在可检验的关系，且受群体差异（年龄/收入/地区/身份）调节（待验证）；H2：求助意愿（病耻感）、渠道偏好（App/热线/线下）是影响效果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🔶心理健康市场规模（行业报告需核验）；✅近八成青年有情绪压力（艾媒，第二批已核验）；✅国家心理健康促进行动（政策背景）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高校心理中心/心理App社群渠道；与第二批31（情绪）区分：聚焦专业服务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🔶心理健康市场规模（行业报告需核验）；✅近八成青年有情绪压力（艾媒，第二批已核验）；✅国家心理健康促进行动（政策背景）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