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271. “一口好牙，正畸美学”——口腔正畸（隐形矫正、钢丝矫正）消费决策研究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研究对象：正在矫正或有意矫正牙齿的 12—40 岁人群及其家长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核心问题/变量：矫正动机（美观/功能）、矫正方式选择（隐形vs钢丝）、价格敏感、机构信任、满意度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H1：矫正动机（美观/功能）、矫正方式选择（隐形vs钢丝）显著影响满意度（待验证）；H2：不同人群（年龄/收入/城市等级）在上述关系中存在调节作用（待验证）。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口腔正畸市场规模约500亿元、隐形矫正和陶瓷矫正为主要增长点；✅2026年中国口腔医疗服务市场约3753.5亿元（+13%）、诊疗人次破3.6亿次；✅全国口腔患者约7亿人、超八成消费者有过口腔医疗项目经历（行业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口腔门诊/高校渠道；贴近大学生、自带话题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口腔正畸市场规模约500亿元、隐形矫正和陶瓷矫正为主要增长点；✅2026年中国口腔医疗服务市场约3753.5亿元（+13%）、诊疗人次破3.6亿次；✅全国口腔患者约7亿人、超八成消费者有过口腔医疗项目经历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