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272. “种植牙降价，种得起吗”——种植牙集采落地后老年人消费行为研究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研究对象：缺牙的 50+ 中老年人及家属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核心问题/变量：缺牙困扰、种植意愿、集采降价知晓、价格感知（原1.5万→现6000—7000元）、机构选择、顾虑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H1：缺牙困扰、种植意愿（顾虑）之间存在可检验的关系，且受群体差异（年龄/收入/地区/身份）调节（待验证）；H2：缺牙困扰、种植意愿是影响顾虑的关键因素（待验证）。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✅集采落地后单颗种植均价从约1.5万元降至6000—7000元、种植体中选均价降至900多元；✅种植牙2026年市场规模约800亿元、行业从"高客单"转向"以量换价"；✅口腔服务市场3753.5亿元（中研普华）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口腔医院/社区老年人渠道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✅集采落地后单颗种植均价从约1.5万元降至6000—7000元、种植体中选均价降至900多元；✅种植牙2026年市场规模约800亿元、行业从"高客单"转向"以量换价"；✅口腔服务市场3753.5亿元（中研普华）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