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276. “HPV 疫苗，早接种早安心”——HPV疫苗接种意愿与免费政策知晓研究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研究对象：9—45岁女性及女孩家长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核心问题/变量：疫苗认知（几价/保护力）、接种意愿、预约渠道、免费政策知晓、接种障碍（价格/时间）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疫苗认知（几价/保护力）、接种意愿（接种障碍（价格/时间））之间存在可检验的关系，且受群体差异（年龄/收入/地区/身份）调节（待验证）；H2：疫苗认知（几价/保护力）、接种意愿是影响接种障碍（价格/时间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✅2026年国内HPV疫苗市场突破220亿元（+10%）；✅9—45岁适龄女性约3.6亿、九价接种率仅约4.2%—5%，仍有约2.9亿未接种；✅13周岁适龄女孩双价HPV疫苗纳入国家免疫规划、免费接种落地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社区接种点/高校女性渠道；议题公益性强、评委好感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✅2026年国内HPV疫苗市场突破220亿元（+10%）；✅9—45岁适龄女性约3.6亿、九价接种率仅约4.2%—5%，仍有约2.9亿未接种；✅13周岁适龄女孩双价HPV疫苗纳入国家免疫规划、免费接种落地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