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288. “县域医共体，就近就医”——县域医共体、基层分级诊疗居民就医选择研究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建议地区：县域（可按省/市细化抽样框）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确定行业：11_健康医疗（选择理由：贴合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研究对象：县域居民（有基层就医经历）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核心问题/变量：就医流向（村卫生室/县医院/市医院）、基层信任、专家下沉感知、转诊体验、满意度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就医流向（村卫生室/县医院/市医院）、基层信任（满意度）之间存在可检验的关系，且受群体差异（年龄/收入/地区/身份）调节（待验证）；H2：就医流向（村卫生室/县医院/市医院）、基层信任是影响满意度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✅国家推进县域医共体建设（卫健委政策）；🔶县域医共体覆盖数据（卫健委报告需核验）；✅分级诊疗制度背景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县医院/乡镇卫生院渠道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✅国家推进县域医共体建设（卫健委政策）；🔶县域医共体覆盖数据（卫健委报告需核验）；✅分级诊疗制度背景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