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297. “听见世界，助听器不将就”——助听器、听力健康服务消费需求研究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研究对象：有听力困扰的中老年人及其子女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核心问题/变量：听力困扰（听不清/耳鸣）、助听器佩戴率、购买渠道（医院vs门店/网店）、价格敏感、验配服务、歧视感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听力困扰（听不清/耳鸣）、助听器佩戴率（歧视感）之间存在可检验的关系，且受群体差异（年龄/收入/地区/身份）调节（待验证）；H2：听力困扰（听不清/耳鸣）、助听器佩戴率是影响歧视感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🔶我国助听器佩戴率不足5%（媒体/行业数据，需引原文）；✅人口老龄化背景（60+3.2亿）；✅健康中国与老年健康政策背景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听力门店/社区老年渠道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🔶我国助听器佩戴率不足5%（媒体/行业数据，需引原文）；✅人口老龄化背景（60+3.2亿）；✅健康中国与老年健康政策背景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