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371. “推拿理疗，持证上岗”——中医推拿理疗消费与从业资格认知研究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研究对象：去中医馆/推拿理疗馆消费的顾客及从业者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核心问题/变量：消费频次与项目（推拿/艾灸/拔罐）、价格接受、技师资质认知、证件鉴别（等级证vs速成证）、信任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H1：消费频次与项目（推拿/艾灸/拔罐）、价格接受显著影响信任（待验证）；H2：不同人群（年龄/收入/城市等级）在上述关系中存在调节作用（待验证）。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2025年6月起"中医推拿按摩师"不再是国家准入类职业资格、转为职业技能等级认定（人社部门备案第三方机构发证）；✅依据《国家职业技能标准——保健按摩师（2023年版）》；✅警惕"七天拿证""免考包过"（监管提示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中医馆/理疗店现场问卷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2025年6月起"中医推拿按摩师"不再是国家准入类职业资格、转为职业技能等级认定（人社部门备案第三方机构发证）；✅依据《国家职业技能标准——保健按摩师（2023年版）》；✅警惕"七天拿证""免考包过"（监管提示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