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383. “罕见病，不被放弃的群体”——罕见病用药可及性与保障认知研究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研究对象：罕见病患者家属、医护人员、公益组织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核心问题/变量：用药负担、医保目录纳入知晓、慈善援助、异地就医、心理支持、政策期待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H1：用药负担、医保目录纳入知晓（政策期待）之间存在可检验的关系，且受群体差异（年龄/收入/地区/身份）调节（待验证）；H2：用药负担、医保目录纳入知晓是影响政策期待的关键因素（待验证）。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🔶罕见病目录（卫健委第一批/第二批目录）；✅医保谈判罕见病用药纳入（国家医保局政策）；🔶"孤儿药"可及性数据（学术/行业报告需核验）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罕见病公益组织（病痛挑战基金会）渠道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🔶罕见病目录（卫健委第一批/第二批目录）；✅医保谈判罕见病用药纳入（国家医保局政策）；🔶"孤儿药"可及性数据（学术/行业报告需核验）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