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442. “血糖血压，在家管起来”——慢性病居家监测与数字化管理（互联网+慢病）研究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研究对象：患慢病（高血压/糖尿病）且使用居家监测设备的中老年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核心问题/变量：监测习惯（血糖仪/血压计/智能穿戴）、数据记录、线上问诊复诊、家庭医生联动、自我管理效能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监测习惯（血糖仪/血压计/智能穿戴）、数据记录（自我管理效能）之间存在可检验的关系，且受群体差异（年龄/收入/地区/身份）调节（待验证）；H2：监测习惯（血糖仪/血压计/智能穿戴）、数据记录是影响自我管理效能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✅互联网医疗超1000亿、慢病管理为主要动力（第十批已核验）；🔶慢病人群规模（国家卫健委数据需核验）；✅"互联网+医疗健康"政策背景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社区卫生服务中心/慢病社群渠道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✅互联网医疗超1000亿、慢病管理为主要动力（第十批已核验）；🔶慢病人群规模（国家卫健委数据需核验）；✅"互联网+医疗健康"政策背景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