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445. “运动处方，体医融合”——运动处方、体医融合康复服务消费研究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研究对象：接受过运动康复指导/运动处方的慢性病人群及运动爱好者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核心问题/变量：获取渠道（医院运动门诊/康复机构/健身工作室）、处方内容、费用、执行依从、效果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获取渠道（医院运动门诊/康复机构/健身工作室）、处方内容（效果）之间存在可检验的关系，且受群体差异（年龄/收入/地区/身份）调节（待验证）；H2：获取渠道（医院运动门诊/康复机构/健身工作室）、处方内容是影响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🔶运动处方推广（国家体育总局/卫健委体医融合政策）；✅全民健身纲要（背景）；✅私教500亿市场（第九轮证据）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运动康复机构/体医融合门诊渠道；与276题（运动康复）区分：聚焦体医融合制度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🔶运动处方推广（国家体育总局/卫健委体医融合政策）；✅全民健身纲要（背景）；✅私教500亿市场（第九轮证据）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