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505. “中医夜市，年轻人的养生打卡”——中医夜市、青年中医药消费研究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确定行业：11_健康医疗（选择理由：贴合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研究对象：参与中医夜市（把脉、针灸推拿、中药茶饮）的年轻人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核心问题/变量：参与动机（朋克养生升级/新鲜打卡）、体验满意度、为中医药养生的付费意愿、疗效信任、复购与品牌化（中式养生茶饮）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H1：参与动机（朋克养生升级/新鲜打卡）、体验满意度显著影响复购与品牌化（中式养生茶饮）（待验证）；H2：不同人群（年龄/收入/城市等级）在上述关系中存在调节作用（待验证）。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🔶各地中医夜市爆火报道（央视、城市媒体，须下载核验）；✅中医药振兴发展政策（国务院中医药文件）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夜市现场问卷+社交媒体内容分析；与081（中医药养生）区分：聚焦“夜市化”新场景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🔶各地中医夜市爆火报道（央视、城市媒体，须下载核验）；✅中医药振兴发展政策（国务院中医药文件）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