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586. “社区药房，不只是买药”——社区药店药学服务消费研究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研究对象：常去社区药店购药的居民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核心问题/变量：药店选择因素（距离/药师/医保）、药师咨询使用、慢病建档与用药指导、互联网药房分流、专业化服务期待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药店选择因素（距离/药师/医保）、药师咨询使用（专业化服务期待）之间存在可检验的关系，且受群体差异（年龄/收入/地区/身份）调节（待验证）；H2：药店选择因素（距离/药师/医保）、药师咨询使用是影响专业化服务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✅药店专业化政策（药监局、医保局）；🔶药店转型报告（行业报告须下载核验）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社区药店实地问卷+药师访谈；区别于079（睡眠）聚焦药事服务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✅药店专业化政策（药监局、医保局）；🔶药店转型报告（行业报告须下载核验）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