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588. “疫苗接种，成人新日程”——成人疫苗接种（流感、HPV、带状疱疹）消费研究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研究对象：接种成人疫苗的成年人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核心问题/变量：成人疫苗接种意识、品类选择（流感/HPV/带状疱疹）、价格与医保、接种便捷性、家庭互带接种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成人疫苗接种意识、品类选择（流感/HPV/带状疱疹）（家庭互带接种）之间存在可检验的关系，且受群体差异（年龄/收入/地区/身份）调节（待验证）；H2：成人疫苗接种意识、品类选择（流感/HPV/带状疱疹）是影响家庭互带接种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✅成人疫苗接种政策（疾控、卫健委）；🔶成人疫苗市场数据（行业报告须下载核验）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社区接种点问卷+疾控访谈；区别于587（近视防控）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✅成人疫苗接种政策（疾控、卫健委）；🔶成人疫苗市场数据（行业报告须下载核验）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