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589. “基因检测，健康预言家”——消费级基因检测（祖源、健康风险）消费研究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研究对象：做过消费级基因检测（微基因/23魔方类）的用户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核心问题/变量：基因检测动机（祖源/健康风险/运动饮食）、结果理解与信任、付费意愿、隐私顾虑、结果对行为改变影响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H1：基因检测动机（祖源/健康风险/运动饮食）、结果理解与信任显著影响结果对行为改变影响（待验证）；H2：不同人群（年龄/收入/城市等级）在上述关系中存在调节作用（待验证）。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🔶消费级基因检测市场与监管（行业报告、药监局公告须下载核验）；✅基因检测规范政策（卫健委）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基因检测社群问卷+服务商访谈；区别于463（健康管理）聚焦基因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🔶消费级基因检测市场与监管（行业报告、药监局公告须下载核验）；✅基因检测规范政策（卫健委）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