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590. “过敏星人的春天”——过敏人群脱敏治疗与过敏消费研究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研究对象：过敏性鼻炎/哮喘患者及其家庭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核心问题/变量：过敏困扰程度、脱敏治疗（舌下/注射）知晓与接受、抗过敏消费（药/净化器/床品）、医院选择、费用负担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过敏困扰程度、脱敏治疗（舌下/注射）知晓与接受（费用负担）之间存在可检验的关系，且受群体差异（年龄/收入/地区/身份）调节（待验证）；H2：过敏困扰程度、脱敏治疗（舌下/注射）知晓与接受是影响费用负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🔶过敏性疾病患病数据（医学报告须下载核验）；✅过敏防治科普政策（卫健委）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过敏门诊渠道+患者社群问卷；区别于079（睡眠）聚焦过敏专项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🔶过敏性疾病患病数据（医学报告须下载核验）；✅过敏防治科普政策（卫健委）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