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611. “医美分期，美丽陷阱”——医美贷款分期消费与风险认知研究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研究对象：做过或考虑医美分期的年轻女性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核心问题/变量：医美分期使用率、利率与费用认知、诱导贷款经历、逾期维权、与医美事故叠加风险、理性消费教育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医美分期使用率、利率与费用认知（理性消费教育）之间存在可检验的关系，且受群体差异（年龄/收入/地区/身份）调节（待验证）；H2：医美分期使用率、利率与费用认知是影响理性消费教育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🔶医美贷乱象整治报道（央视须下载核验）；✅医美行业监管政策（卫健委、市场监管总局）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医美机构渠道+女性社群问卷；获奖黑名单核对：近三年无医美分期获奖题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🔶医美贷乱象整治报道（央视须下载核验）；✅医美行业监管政策（卫健委、市场监管总局）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