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653. “近视手术，摘镜的抉择”——近视激光手术消费决策研究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研究对象：做过或考虑近视手术（全飞秒等）的青年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核心问题/变量：摘镜动机（参军/颜值/运动）、术式选择与费用、机构信任（公立vs私立）、风险知晓、术后满意度、亲友推荐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摘镜动机（参军/颜值/运动）、术式选择与费用（亲友推荐）之间存在可检验的关系，且受群体差异（年龄/收入/地区/身份）调节（待验证）；H2：摘镜动机（参军/颜值/运动）、术式选择与费用是影响亲友推荐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🔶近视手术市场数据（眼科行业报告须下载核验）；✅近视防控政策（卫健委）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眼科机构渠道+摘镜社群问卷；获奖黑名单核对：近三年无近视手术获奖题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🔶近视手术市场数据（眼科行业报告须下载核验）；✅近视防控政策（卫健委）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