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680. “睡眠门诊一号难求”——睡眠专科门诊就医与睡眠管理消费研究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确定行业：11_健康医疗（选择理由：贴合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研究对象：就诊睡眠专科（失眠/鼾症）的患者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核心问题/变量：就医动机（长期失眠）、挂号难度、睡眠监测（多导/居家）使用、治疗依从（CPAP/药物）、保险覆盖、日常助眠消费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H1：就医动机（长期失眠）、挂号难度显著影响日常助眠消费（待验证）；H2：不同人群（年龄/收入/城市等级）在上述关系中存在调节作用（待验证）。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🔶睡眠门诊增长报道（医疗媒体须下载核验）；✅睡眠健康专项行动（卫健委）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医院睡眠科渠道问卷+医师访谈；获奖黑名单核对：近三年无睡眠门诊获奖题（区别于079睡眠产品）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🔶睡眠门诊增长报道（医疗媒体须下载核验）；✅睡眠健康专项行动（卫健委）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