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690. “牙齿矫正，隐形牙套的较量”——隐形正畸消费（隐适美、国产）研究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确定行业：11_健康医疗（选择理由：贴合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研究对象：做过或考虑隐形正畸（牙套）的青中年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核心问题/变量：正畸动机（美观/功能）、隐形vs钢丝选择、价格与分期、医生选择（公立/私立）、复诊依从、满意度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正畸动机（美观/功能）、隐形vs钢丝选择（满意度）之间存在可检验的关系，且受群体差异（年龄/收入/地区/身份）调节（待验证）；H2：正畸动机（美观/功能）、隐形vs钢丝选择是影响满意度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🔶隐形正畸市场数据（行业报告须下载核验）；✅口腔健康行动方案（卫健委）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口腔机构渠道+正畸社群问卷；获奖黑名单核对：近三年无隐形正畸获奖题（区别于271整牙？需复查）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🔶隐形正畸市场数据（行业报告须下载核验）；✅口腔健康行动方案（卫健委）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