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705. “青少年心理援助热线，接得通吗”——心理援助热线使用与可及性研究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研究对象：拨打过心理援助热线（12356等）的青少年及家长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核心问题/变量：热线知晓度、拨打接通率与等待、咨询师专业性感知、隐私信任、危机干预效果、替代渠道（在线咨询）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热线知晓度、拨打接通率与等待（替代渠道（在线咨询））之间存在可检验的关系，且受群体差异（年龄/收入/地区/身份）调节（待验证）；H2：热线知晓度、拨打接通率与等待是影响替代渠道（在线咨询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✅全国统一心理援助热线设置政策（卫健委）；🔶心理热线运行数据（须下载核验）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学校/心理机构渠道问卷+热线运营方访谈；获奖黑名单核对：近三年无心理热线获奖题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✅全国统一心理援助热线设置政策（卫健委）；🔶心理热线运行数据（须下载核验）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