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720. “三伏贴三九贴，贴出来的养生”——冬病夏治（三伏贴）消费研究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研究对象：贴三伏贴/三九贴的市民（多为中老年与儿童家长）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核心问题/变量：贴敷动机（调理/治未病）、医疗机构选择（中医院/社区/民营）、费用与疗程、效果感知、安全性认知（烫伤投诉）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贴敷动机（调理/治未病）、医疗机构选择（中医院/社区/民营）（安全性认知（烫伤投诉））之间存在可检验的关系，且受群体差异（年龄/收入/地区/身份）调节（待验证）；H2：贴敷动机（调理/治未病）、医疗机构选择（中医院/社区/民营）是影响安全性认知（烫伤投诉）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✅三伏贴规范管理（国家中医药局）；🔶三伏贴消费与投诉报道（须下载核验）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中医院/社区渠道问卷；获奖黑名单核对：近三年无三伏贴获奖题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✅三伏贴规范管理（国家中医药局）；🔶三伏贴消费与投诉报道（须下载核验）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