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735. “口腔洗牙，一年一次吗”——洁牙（洗牙）服务消费与口腔保健意识研究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确定行业：11_健康医疗（选择理由：贴合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研究对象：定期洗牙/做过洁牙的市民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核心问题/变量：洗牙频率与动机（预防/去渍）、机构选择（公立/私立/美团团购）、价格与体验、牙龈出血恐惧、口腔保健习惯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H1：洗牙频率与动机（预防/去渍）、机构选择（公立/私立/美团团购）显著影响口腔保健习惯（待验证）；H2：不同人群（年龄/收入/城市等级）在上述关系中存在调节作用（待验证）。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🔶口腔医疗服务市场数据（行业报告须下载核验）；✅健康口腔行动方案（卫健委）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口腔机构渠道问卷+医师访谈；获奖黑名单核对：近三年无洗牙消费获奖题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🔶口腔医疗服务市场数据（行业报告须下载核验）；✅健康口腔行动方案（卫健委）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