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764. “电子烟转替，戒烟新路径”——电子烟使用与戒烟替代消费研究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确定行业：11_健康医疗（选择理由：贴合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研究对象：电子烟用户、尝试戒烟的传统烟民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核心问题/变量：电子烟使用动机（替烟/潮流）、口味与尼古丁浓度、监管（口味禁令）影响、戒烟效果、健康认知、青少年预防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电子烟使用动机（替烟/潮流）、口味与尼古丁浓度（青少年预防）之间存在可检验的关系，且受群体差异（年龄/收入/地区/身份）调节（待验证）；H2：电子烟使用动机（替烟/潮流）、口味与尼古丁浓度是影响青少年预防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✅电子烟管理办法（国家烟草专卖局）；🔶电子烟市场数据（须下载核验）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电子烟社群问卷+监管部门访谈；获奖黑名单核对：近三年无电子烟获奖题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✅电子烟管理办法（国家烟草专卖局）；🔶电子烟市场数据（须下载核验）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