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079. “睡眠经济，睡个好觉”——睡眠健康产品消费意愿与效果评价研究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研究对象：有睡眠质量问题（失眠/浅睡）的18—60岁人群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核心问题/变量：睡眠问题严重度、产品类型（助眠药/保健品/床品/服务）、消费意愿、效果评价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H1：睡眠问题严重度、产品类型（助眠药/保健品/床品/服务）显著影响效果评价（待验证）；H2：不同人群（年龄/收入/城市等级）在上述关系中存在调节作用（待验证）。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✅艾媒《2026年中国睡眠健康产品创新及消费洞察报告》：2016—2025年睡眠经济从2616.3亿元增至5737.2亿元；✅94.2%中国居民曾出现睡眠质量问题、超38%成年人失眠（炼丹炉大数据，🔶口径待核验）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线上社群（失眠互助/睡眠类App）+职场渠道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✅艾媒《2026年中国睡眠健康产品创新及消费洞察报告》：2016—2025年睡眠经济从2616.3亿元增至5737.2亿元；✅94.2%中国居民曾出现睡眠质量问题、超38%成年人失眠（炼丹炉大数据，🔶口径待核验）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