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081. “中医药潮，年轻人新宠”——青年中医药养生消费行为与影响因素研究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研究对象：18—40岁有中医药养生消费的青年（药食同源/针灸推拿/八段锦/中药茶饮）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核心问题/变量：健康观念、养生动机、消费类型、频次金额、满意度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H1：健康观念、养生动机（满意度）之间存在可检验的关系，且受群体差异（年龄/收入/地区/身份）调节（待验证）；H2：健康观念、养生动机是影响满意度的关键因素（待验证）。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🔶中医药养生消费年轻化趋势（行业报告/媒体，待核验原文）；✅国家中医药政策：《中医药发展战略规划纲要》持续推进（政策背景）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中药茶饮店/中医院治未病科/养生青年社群渠道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🔶中医药养生消费年轻化趋势（行业报告/媒体，待核验原文）；✅国家中医药政策：《中医药发展战略规划纲要》持续推进（政策背景）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