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828. “辅助生殖补贴，试管婴儿消费”——辅助生殖（试管婴儿）费用与医保支持研究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确定行业：11_健康医疗（选择理由：贴合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研究对象：接受辅助生殖（试管等）治疗的夫妻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核心问题/变量：辅助生殖费用（10万级）、成功率预期、医保/地方补贴纳入、心理压力、二孩三孩叠加需求、政策获得感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辅助生殖费用（10万级）、成功率预期（政策获得感）之间存在可检验的关系，且受群体差异（年龄/收入/地区/身份）调节（待验证）；H2：辅助生殖费用（10万级）、成功率预期是影响政策获得感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🔶辅助生殖医疗服务纳入医保试点（国家医保局）；🔶辅助生殖消费数据（行业报告须下载核验）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生殖中心渠道问卷+医生访谈；获奖黑名单核对：近三年无辅助生殖获奖题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🔶辅助生殖医疗服务纳入医保试点（国家医保局）；🔶辅助生殖消费数据（行业报告须下载核验）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