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082. “科学减重，健康管理”——减重消费需求与健康管理服务使用意愿研究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研究对象：有减重需求的18—50岁人群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核心问题/变量：减重动机、方式选择（健身/代餐/医学干预）、支出、效果感知、健康风险认知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减重动机、方式选择（健身/代餐/医学干预）（健康风险认知）之间存在可检验的关系，且受群体差异（年龄/收入/地区/身份）调节（待验证）；H2：减重动机、方式选择（健身/代餐/医学干预）是影响健康风险认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🔶减重药物（GLP-1类）全球市场爆发、国内司美格鲁肽等获批（行业报道，须下载原文核对）；✅"健康中国"战略与体重管理年行动（政策背景，🔶具体文件待核验）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健身房/减重社群/健康管理机构渠道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🔶减重药物（GLP-1类）全球市场爆发、国内司美格鲁肽等获批（行业报道，须下载原文核对）；✅"健康中国"战略与体重管理年行动（政策背景，🔶具体文件待核验）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