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842. “三高人群饮食，控糖控盐日常”——慢病人群（三高）饮食管理与代餐消费研究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研究对象：高血压/高血糖/高血脂（三高）人群及其家庭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核心问题/变量：饮食控制执行（低盐/低糖）、代餐/特殊食品（糖尿病食品/低钠盐）消费、监测设备（血压计/血糖仪）、医嘱依从、健康管理App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H1：饮食控制执行（低盐/低糖）、代餐/特殊食品（糖尿病食品/低钠盐）消费显著影响健康管理App（待验证）；H2：不同人群（年龄/收入/城市等级）在上述关系中存在调节作用（待验证）。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🔶三高防治与健康中国行动（卫健委）；🔶慢病食品市场数据（行业报告须下载核验）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社区健康渠道问卷+慢病管理平台访谈；获奖黑名单核对：近三年无三高饮食获奖题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🔶三高防治与健康中国行动（卫健委）；🔶慢病食品市场数据（行业报告须下载核验）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