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875. “青少年体态矫正，驼背焦虑”——青少年脊柱侧弯筛查与体态矫正消费研究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研究对象：孩子接受脊柱/体态（驼背/圆肩）筛查矫正的家长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核心问题/变量：脊柱侧弯筛查（校园）参与、体态问题检出率感知、矫正产品（背背佳/支具）消费、机构矫正课、就医转介、焦虑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脊柱侧弯筛查（校园）参与、体态问题检出率感知（焦虑）之间存在可检验的关系，且受群体差异（年龄/收入/地区/身份）调节（待验证）；H2：脊柱侧弯筛查（校园）参与、体态问题检出率感知是影响焦虑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🔶儿童青少年脊柱健康专项行动（国家卫健委）；🔶体态矫正市场报道（须下载核验）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学校/康复机构渠道+家长问卷；获奖黑名单核对：近三年无脊柱侧弯获奖题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🔶儿童青少年脊柱健康专项行动（国家卫健委）；🔶体态矫正市场报道（须下载核验）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