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087. “朋克养生，青年新解”——青年“健康焦虑”驱动的新型养生消费研究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研究对象：18—35岁进行养生消费的青年（保温杯泡枸杞/营养保健品/中医调理）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核心问题/变量：健康焦虑、作息状态、养生动机、消费行为、效果感知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H1：健康焦虑、作息状态显著影响效果感知（待验证）；H2：不同人群（年龄/收入/城市等级）在上述关系中存在调节作用（待验证）。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🔶"边熬夜边养生"朋克养生现象（媒体高频话题，待引用权威报告）；✅近八成青年存在情绪压力（艾媒2026抽样，可与情绪经济板块衔接）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校园+职场青年渠道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🔶"边熬夜边养生"朋克养生现象（媒体高频话题，待引用权威报告）；✅近八成青年存在情绪压力（艾媒2026抽样，可与情绪经济板块衔接）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