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889. “猝死年轻化，体检加项潮”——青年健康焦虑与体检加项（心脑血管筛查）消费研究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研究对象：因健康焦虑加购体检项目/专项筛查（心脑血管/肿瘤）的年轻人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核心问题/变量：健康焦虑来源（新闻/过劳）、体检加项消费（千元级）、专项筛查（CT/基因）选择、结果解读、健康行为改变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H1：健康焦虑来源（新闻/过劳）、体检加项消费（千元级）显著影响健康行为改变（待验证）；H2：不同人群（年龄/收入/城市等级）在上述关系中存在调节作用（待验证）。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🔶健康中国行动与体检规范（卫健委）；🔶体检市场数据（行业报告须下载核验）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体检机构渠道+青年问卷；获奖黑名单核对：近三年无体检加项获奖题（区别于636报告解读/697上门体检）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🔶健康中国行动与体检规范（卫健委）；🔶体检市场数据（行业报告须下载核验）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