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926. “戒烟门诊，科学戒烟”——戒烟门诊服务（干预、药物）使用研究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研究对象：尝试科学戒烟（门诊/药物/App）的烟民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核心问题/变量：戒烟动机（健康/家人）、戒烟门诊知晓与使用、药物/尼古丁替代辅助、复吸率、电子烟替代争议、控烟政策感知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戒烟动机（健康/家人）、戒烟门诊知晓与使用（控烟政策感知）之间存在可检验的关系，且受群体差异（年龄/收入/地区/身份）调节（待验证）；H2：戒烟动机（健康/家人）、戒烟门诊知晓与使用是影响控烟政策感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🔶戒烟门诊建设与控烟政策（卫健委）；🔶戒烟服务数据（须下载核验）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医院戒烟门诊渠道+烟民问卷；获奖黑名单核对：近三年无戒烟门诊获奖题（区别于764电子烟替烟）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🔶戒烟门诊建设与控烟政策（卫健委）；🔶戒烟服务数据（须下载核验）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