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1028. “教师减负清单，回归教学”——中小学教师减负政策落实与教学体验研究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研究对象：中小学教师（经历减负清单/去行政化）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核心问题/变量：非教学任务负担（填表/检查/打卡）、减负政策感知、教学时间占比、职业倦怠与幸福感、家校沟通负担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非教学任务负担（填表/检查/打卡）、减负政策感知（家校沟通负担）之间存在可检验的关系，且受群体差异（年龄/收入/地区/身份）调节（待验证）；H2：非教学任务负担（填表/检查/打卡）、减负政策感知是影响家校沟通负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🔶中小学教师减负政策（教育部）；🔶教师负担调查数据（须下载核验）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教师问卷+教育局访谈；获奖黑名单核对：近三年无教师减负获奖题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🔶中小学教师减负政策（教育部）；🔶教师负担调查数据（须下载核验）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