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1029. “校服循环，绿色校服”——校服流转使用（传承、回购、循环）研究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研究对象：使用校服（含传承循环）的学生与家长、校服企业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核心问题/变量：校服价格与质量、旧校服处置（传承弟弟妹妹/二手平台）、校服循环接受度、一校一款招标、家长参与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校服价格与质量、旧校服处置（传承弟弟妹妹/二手平台）（家长参与）之间存在可检验的关系，且受群体差异（年龄/收入/地区/身份）调节（待验证）；H2：校服价格与质量、旧校服处置（传承弟弟妹妹/二手平台）是影响家长参与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🔶校服管理相关规定（教育部、市场监管总局）；🔶校服治理报道（须下载核验）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家长问卷+校服企业访谈；获奖黑名单核对：近三年无校服循环获奖题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🔶校服管理相关规定（教育部、市场监管总局）；🔶校服治理报道（须下载核验）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