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1030. “宿舍改造，住出格调”——大学生宿舍改造（床品、收纳、好物）消费研究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研究对象：改造宿舍/宿舍好物的大学生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核心问题/变量：宿舍改造投入（百元-千元）、品类（床帘/收纳/氛围灯）、宿舍限电与改造限制、断舍离、与校外租房对比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宿舍改造投入（百元-千元）、品类（床帘/收纳/氛围灯）（与校外租房对比）之间存在可检验的关系，且受群体差异（年龄/收入/地区/身份）调节（待验证）；H2：宿舍改造投入（百元-千元）、品类（床帘/收纳/氛围灯）是影响与校外租房对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🔶高校后勤与学生生活服务政策（教育部）；🔶宿舍好物消费数据（电商平台须下载核验）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高校学生问卷+电商宿舍好物数据；获奖黑名单核对：近三年无宿舍改造获奖题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🔶高校后勤与学生生活服务政策（教育部）；🔶宿舍好物消费数据（电商平台须下载核验）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